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A1ED" w14:textId="77777777" w:rsidR="00836898" w:rsidRPr="00B16049" w:rsidRDefault="00836898" w:rsidP="00836898">
      <w:pPr>
        <w:rPr>
          <w:rFonts w:ascii="Arial" w:hAnsi="Arial"/>
          <w:b/>
          <w:color w:val="000000" w:themeColor="text1"/>
          <w:sz w:val="28"/>
          <w:bdr w:val="none" w:sz="0" w:space="0" w:color="auto" w:frame="1"/>
        </w:rPr>
      </w:pPr>
      <w:r w:rsidRPr="00B16049">
        <w:rPr>
          <w:sz w:val="52"/>
        </w:rPr>
        <w:t>Comunicato stampa</w:t>
      </w:r>
    </w:p>
    <w:p w14:paraId="7258E595" w14:textId="2003D177" w:rsidR="00836898" w:rsidRPr="00B16049" w:rsidRDefault="00836898" w:rsidP="002D0EA6">
      <w:pPr>
        <w:rPr>
          <w:b/>
          <w:bCs/>
          <w:color w:val="000000" w:themeColor="text1"/>
          <w:sz w:val="44"/>
          <w:szCs w:val="44"/>
        </w:rPr>
      </w:pPr>
      <w:r w:rsidRPr="00B16049">
        <w:rPr>
          <w:b/>
          <w:bdr w:val="none" w:sz="0" w:space="0" w:color="auto" w:frame="1"/>
        </w:rPr>
        <w:t xml:space="preserve">Neu-Anspach, Germania – </w:t>
      </w:r>
      <w:r w:rsidR="008033D8">
        <w:rPr>
          <w:b/>
          <w:bdr w:val="none" w:sz="0" w:space="0" w:color="auto" w:frame="1"/>
        </w:rPr>
        <w:t>28</w:t>
      </w:r>
      <w:r w:rsidRPr="00B16049">
        <w:rPr>
          <w:b/>
          <w:bdr w:val="none" w:sz="0" w:space="0" w:color="auto" w:frame="1"/>
        </w:rPr>
        <w:t xml:space="preserve"> aprile 2026</w:t>
      </w:r>
    </w:p>
    <w:p w14:paraId="7A5AB301" w14:textId="77777777" w:rsidR="00836898" w:rsidRPr="00B16049" w:rsidRDefault="00836898" w:rsidP="002D0EA6">
      <w:pPr>
        <w:rPr>
          <w:b/>
          <w:bCs/>
          <w:color w:val="000000" w:themeColor="text1"/>
          <w:sz w:val="44"/>
          <w:szCs w:val="44"/>
        </w:rPr>
      </w:pPr>
    </w:p>
    <w:p w14:paraId="7E81A540" w14:textId="576C8C99" w:rsidR="009F4E26" w:rsidRPr="00B16049" w:rsidRDefault="00DF1594" w:rsidP="002D0EA6">
      <w:pPr>
        <w:rPr>
          <w:b/>
          <w:bCs/>
          <w:color w:val="000000" w:themeColor="text1"/>
          <w:sz w:val="44"/>
          <w:szCs w:val="44"/>
        </w:rPr>
      </w:pPr>
      <w:r w:rsidRPr="00B16049">
        <w:rPr>
          <w:b/>
          <w:color w:val="000000" w:themeColor="text1"/>
          <w:sz w:val="44"/>
        </w:rPr>
        <w:t>Dove lo sport incontra la storia – Cameo contribuisce al progetto di illuminazione dei Giochi invernali più prestigiosi al mondo</w:t>
      </w:r>
    </w:p>
    <w:p w14:paraId="50BBB6BA" w14:textId="77777777" w:rsidR="002D0EA6" w:rsidRPr="00B16049" w:rsidRDefault="002D0EA6" w:rsidP="002D0EA6">
      <w:pPr>
        <w:rPr>
          <w:b/>
          <w:bCs/>
          <w:color w:val="000000" w:themeColor="text1"/>
          <w:sz w:val="44"/>
          <w:szCs w:val="44"/>
        </w:rPr>
      </w:pPr>
    </w:p>
    <w:p w14:paraId="12F7D279" w14:textId="6EE0DCEA" w:rsidR="00827117" w:rsidRPr="00B16049" w:rsidRDefault="00204512" w:rsidP="002D0EA6">
      <w:pPr>
        <w:rPr>
          <w:rFonts w:eastAsia="Times New Roman"/>
          <w:b/>
          <w:bCs/>
          <w:color w:val="auto"/>
        </w:rPr>
      </w:pPr>
      <w:r w:rsidRPr="00B16049">
        <w:rPr>
          <w:b/>
          <w:color w:val="auto"/>
        </w:rPr>
        <w:t xml:space="preserve">Il palcoscenico: un anfiteatro romano risalente a 2.000 anni fa e patrimonio mondiale dell’UNESCO. Il pubblico: milioni di persone in tutto il mondo. L'occasione: i Giochi invernali più prestigiosi al mondo. E proprio nel bel mezzo di tutto questo, </w:t>
      </w:r>
      <w:proofErr w:type="gramStart"/>
      <w:r w:rsidRPr="00B16049">
        <w:rPr>
          <w:b/>
          <w:color w:val="auto"/>
        </w:rPr>
        <w:t>un team</w:t>
      </w:r>
      <w:proofErr w:type="gramEnd"/>
      <w:r w:rsidRPr="00B16049">
        <w:rPr>
          <w:b/>
          <w:color w:val="auto"/>
        </w:rPr>
        <w:t xml:space="preserve"> di lighting design che lavora con 750 unità di un prodotto che non è ancora nemmeno in commercio. È così che inizia una storia sul momento in cui la luce smette di essere tecnologia e inizia a essere un linguaggio.</w:t>
      </w:r>
    </w:p>
    <w:p w14:paraId="6508519E" w14:textId="2CAB7197" w:rsidR="007B5936" w:rsidRPr="00B16049" w:rsidRDefault="0039320C" w:rsidP="002D0EA6">
      <w:pPr>
        <w:pStyle w:val="whitespace-normal"/>
        <w:spacing w:before="0" w:beforeAutospacing="0" w:after="0" w:afterAutospacing="0"/>
        <w:rPr>
          <w:rFonts w:ascii="Calibri" w:hAnsi="Calibri" w:cs="Calibri"/>
          <w:b/>
          <w:bCs/>
          <w:sz w:val="22"/>
          <w:szCs w:val="22"/>
        </w:rPr>
      </w:pPr>
      <w:r w:rsidRPr="00B16049">
        <w:rPr>
          <w:rFonts w:ascii="Calibri" w:hAnsi="Calibri"/>
          <w:b/>
          <w:sz w:val="22"/>
        </w:rPr>
        <w:t xml:space="preserve">L'Arena di Verona nel febbraio 2026: il famoso anfiteatro fa da cornice a due cerimonie che non potrebbero essere più diverse. Prima, il gran finale dei Giochi invernali più prestigiosi al mondo: un momento di saluto e di omaggio ai migliori atleti. Qualche giorno dopo, lo stesso palcoscenico, la stessa tecnologia, ma un’atmosfera completamente diversa: l’inaugurazione dei Giochi invernali per gli atleti paralimpici, un nuovo inizio pieno di energia e aspettative. In entrambi i casi, la stessa arena, la stessa tecnologia, eppure due eventi diversi. </w:t>
      </w:r>
    </w:p>
    <w:p w14:paraId="14753581" w14:textId="77777777" w:rsidR="00827117" w:rsidRPr="00B16049" w:rsidRDefault="00827117" w:rsidP="002D0EA6">
      <w:pPr>
        <w:rPr>
          <w:rFonts w:eastAsia="Times New Roman"/>
          <w:color w:val="auto"/>
          <w:lang w:eastAsia="de-DE"/>
        </w:rPr>
      </w:pPr>
    </w:p>
    <w:p w14:paraId="524DD9F5" w14:textId="51EC84E6" w:rsidR="007B5936" w:rsidRPr="00B16049" w:rsidRDefault="007B5936" w:rsidP="00B07AD8">
      <w:pPr>
        <w:pStyle w:val="font-claude-response-body"/>
        <w:rPr>
          <w:rFonts w:ascii="Calibri" w:hAnsi="Calibri" w:cs="Calibri"/>
          <w:sz w:val="22"/>
          <w:szCs w:val="22"/>
        </w:rPr>
      </w:pPr>
      <w:r w:rsidRPr="00B16049">
        <w:rPr>
          <w:rFonts w:ascii="Calibri" w:hAnsi="Calibri"/>
          <w:sz w:val="22"/>
        </w:rPr>
        <w:t xml:space="preserve">Ciò che il pubblico ha potuto vivere nel corso di questi due eventi è stato il risultato di una stretta collaborazione tra la società di produzione italiana Filmmaster, incaricata direttamente dai comitati organizzatori, lo studio di design milanese Giò Forma e </w:t>
      </w:r>
      <w:proofErr w:type="gramStart"/>
      <w:r w:rsidRPr="00B16049">
        <w:rPr>
          <w:rFonts w:ascii="Calibri" w:hAnsi="Calibri"/>
          <w:sz w:val="22"/>
        </w:rPr>
        <w:t>il team</w:t>
      </w:r>
      <w:proofErr w:type="gramEnd"/>
      <w:r w:rsidRPr="00B16049">
        <w:rPr>
          <w:rFonts w:ascii="Calibri" w:hAnsi="Calibri"/>
          <w:sz w:val="22"/>
        </w:rPr>
        <w:t xml:space="preserve"> di lighting design di </w:t>
      </w:r>
      <w:proofErr w:type="spellStart"/>
      <w:r w:rsidRPr="00B16049">
        <w:rPr>
          <w:rFonts w:ascii="Calibri" w:hAnsi="Calibri"/>
          <w:sz w:val="22"/>
        </w:rPr>
        <w:t>Blearred</w:t>
      </w:r>
      <w:proofErr w:type="spellEnd"/>
      <w:r w:rsidRPr="00B16049">
        <w:rPr>
          <w:rFonts w:ascii="Calibri" w:hAnsi="Calibri"/>
          <w:sz w:val="22"/>
        </w:rPr>
        <w:t xml:space="preserve"> Milano. Insieme, hanno realizzato uno spettacolo che ha avuto un impatto ben oltre il mondo dello sport. Fabrizio Audagnotto, produttore esecutivo di cerimonie presso Filmmaster, afferma: “La bellezza in azione – in tutte le sue forme. Questa era la promessa che avevamo fatto al mondo. Trasformare l’Arena di Verona in un palcoscenico coinvolgente per la prima volta nella storia delle Olimpiadi, intrecciando danza, musica, tecnologia e il patrimonio culturale italiano in un unico momento. Ci riusciremo solo se ogni partner comprenderà appieno questa visione. Sul palco si vede la luce. Ma ciò che non si vede è la fiducia che sta alla base di tutto questo.”</w:t>
      </w:r>
    </w:p>
    <w:p w14:paraId="2D522FE4" w14:textId="669D4632" w:rsidR="009C605B" w:rsidRPr="00B16049" w:rsidRDefault="00F96DD4" w:rsidP="002D0EA6">
      <w:pPr>
        <w:rPr>
          <w:rFonts w:eastAsia="Times New Roman"/>
          <w:b/>
          <w:bCs/>
          <w:color w:val="auto"/>
        </w:rPr>
      </w:pPr>
      <w:r w:rsidRPr="00B16049">
        <w:rPr>
          <w:b/>
          <w:color w:val="auto"/>
        </w:rPr>
        <w:t>La luce come elemento di design</w:t>
      </w:r>
    </w:p>
    <w:p w14:paraId="5B08B549" w14:textId="589E7848" w:rsidR="00827117" w:rsidRPr="00403E53" w:rsidRDefault="00403E53" w:rsidP="002D0EA6">
      <w:pPr>
        <w:rPr>
          <w:rFonts w:eastAsia="Times New Roman" w:cs="Times New Roman"/>
          <w:color w:val="auto"/>
          <w:szCs w:val="24"/>
          <w:lang w:eastAsia="de-DE"/>
        </w:rPr>
      </w:pPr>
      <w:r w:rsidRPr="00403E53">
        <w:rPr>
          <w:rFonts w:eastAsia="Times New Roman" w:cs="Times New Roman"/>
          <w:color w:val="auto"/>
          <w:szCs w:val="24"/>
          <w:lang w:eastAsia="de-DE"/>
        </w:rPr>
        <w:t xml:space="preserve">Claudio Santucci, scenografo e fondatore dello studio di design Giò Forma, con sede a Milano, lo sapeva dall'inizio del progetto: "La luce è una componente strutturale della scenografia, non un elemento secondario. All'Arena di Verona, abbiamo affrontato la sfida di risolvere il fondale lungo le gradinate dell'Arena, una condizione particolarmente delicata, poiché qualsiasi intervento in quel contesto implicava inevitabilmente trovare un equilibrio tra la valorizzazione del sito storico e l'integrazione della tecnologia contemporanea. Abbiamo quindi reinterpretato il fondo come una tela luminosa che si estende lungo le gradinate dell'Arena, impiegando un sistema di illuminazione versatile e di grande impatto visivo. In questo modo, la luce diventa un vero e proprio strumento scenografico, capace di modellare lo spazio, la profondità e la narrazione senza ricorrere a strutture fisiche aggiuntive. Per raggiungere questo obiettivo, abbiamo coinvolto Cameo nel processo, fornendo l'impulso decisivo ai light designer di </w:t>
      </w:r>
      <w:proofErr w:type="spellStart"/>
      <w:r w:rsidRPr="00403E53">
        <w:rPr>
          <w:rFonts w:eastAsia="Times New Roman" w:cs="Times New Roman"/>
          <w:color w:val="auto"/>
          <w:szCs w:val="24"/>
          <w:lang w:eastAsia="de-DE"/>
        </w:rPr>
        <w:t>Blearred</w:t>
      </w:r>
      <w:proofErr w:type="spellEnd"/>
      <w:r w:rsidRPr="00403E53">
        <w:rPr>
          <w:rFonts w:eastAsia="Times New Roman" w:cs="Times New Roman"/>
          <w:color w:val="auto"/>
          <w:szCs w:val="24"/>
          <w:lang w:eastAsia="de-DE"/>
        </w:rPr>
        <w:t>. Insieme, abbiamo trasformato l'Arena nel cuore visivo del progetto: un fondale immersivo dove luce, architettura e design convergono, valorizzando e amplificando ogni performance."</w:t>
      </w:r>
    </w:p>
    <w:p w14:paraId="51F6FFFF" w14:textId="6F924FB5" w:rsidR="001B190B" w:rsidRPr="00B16049" w:rsidRDefault="001B190B" w:rsidP="002D0EA6">
      <w:pPr>
        <w:rPr>
          <w:b/>
          <w:bCs/>
          <w:color w:val="000000" w:themeColor="text1"/>
        </w:rPr>
      </w:pPr>
      <w:r w:rsidRPr="00B16049">
        <w:rPr>
          <w:b/>
          <w:color w:val="000000" w:themeColor="text1"/>
        </w:rPr>
        <w:lastRenderedPageBreak/>
        <w:t>Nuove prospettive</w:t>
      </w:r>
    </w:p>
    <w:p w14:paraId="73CCC8D3" w14:textId="6EC390EA" w:rsidR="00C00414" w:rsidRPr="00B16049" w:rsidRDefault="00C00414" w:rsidP="002D0EA6">
      <w:pPr>
        <w:pStyle w:val="StandardWeb"/>
        <w:spacing w:before="0" w:beforeAutospacing="0" w:after="0" w:afterAutospacing="0"/>
        <w:rPr>
          <w:rFonts w:ascii="Calibri" w:hAnsi="Calibri" w:cs="Calibri"/>
          <w:sz w:val="22"/>
          <w:szCs w:val="22"/>
        </w:rPr>
      </w:pPr>
      <w:r w:rsidRPr="00B16049">
        <w:rPr>
          <w:rFonts w:ascii="Calibri" w:hAnsi="Calibri"/>
          <w:sz w:val="22"/>
        </w:rPr>
        <w:t xml:space="preserve">Per </w:t>
      </w:r>
      <w:proofErr w:type="spellStart"/>
      <w:r w:rsidRPr="00B16049">
        <w:rPr>
          <w:rFonts w:ascii="Calibri" w:hAnsi="Calibri"/>
          <w:sz w:val="22"/>
        </w:rPr>
        <w:t>Blearred</w:t>
      </w:r>
      <w:proofErr w:type="spellEnd"/>
      <w:r w:rsidRPr="00B16049">
        <w:rPr>
          <w:rFonts w:ascii="Calibri" w:hAnsi="Calibri"/>
          <w:sz w:val="22"/>
        </w:rPr>
        <w:t xml:space="preserve">, il compito consisteva nel progettare due produzioni dal vivo consecutive con allestimenti scenici e tecnici praticamente identici, in modo da garantire coerenza e al contempo originalità: “La nostra sfida principale è stata quella di evitare il più possibile le ripetizioni e di conferire a ogni cerimonia un tocco emotivo unico”, spiega Ivan Russo, responsabile tecnico di progetto e uno dei fondatori di </w:t>
      </w:r>
      <w:proofErr w:type="spellStart"/>
      <w:r w:rsidRPr="00B16049">
        <w:rPr>
          <w:rFonts w:ascii="Calibri" w:hAnsi="Calibri"/>
          <w:sz w:val="22"/>
        </w:rPr>
        <w:t>Blearred</w:t>
      </w:r>
      <w:proofErr w:type="spellEnd"/>
      <w:r w:rsidRPr="00B16049">
        <w:rPr>
          <w:rFonts w:ascii="Calibri" w:hAnsi="Calibri"/>
          <w:sz w:val="22"/>
        </w:rPr>
        <w:t>. “L'obiettivo era quello di ridefinire la prospettiva del pubblico, trasmettendo al contempo un'atmosfera generale coerente.”</w:t>
      </w:r>
    </w:p>
    <w:p w14:paraId="499BA9C5" w14:textId="77777777" w:rsidR="00C00414" w:rsidRPr="00B16049" w:rsidRDefault="00C00414" w:rsidP="002D0EA6">
      <w:pPr>
        <w:rPr>
          <w:color w:val="000000" w:themeColor="text1"/>
        </w:rPr>
      </w:pPr>
    </w:p>
    <w:p w14:paraId="575AF297" w14:textId="424D2012" w:rsidR="002226CD" w:rsidRPr="00B16049" w:rsidRDefault="00BD6CFF" w:rsidP="002D0EA6">
      <w:pPr>
        <w:rPr>
          <w:color w:val="000000" w:themeColor="text1"/>
        </w:rPr>
      </w:pPr>
      <w:proofErr w:type="spellStart"/>
      <w:r w:rsidRPr="00B16049">
        <w:rPr>
          <w:color w:val="000000" w:themeColor="text1"/>
        </w:rPr>
        <w:t>Blearred</w:t>
      </w:r>
      <w:proofErr w:type="spellEnd"/>
      <w:r w:rsidRPr="00B16049">
        <w:rPr>
          <w:color w:val="000000" w:themeColor="text1"/>
        </w:rPr>
        <w:t xml:space="preserve"> era alla ricerca di soluzioni efficaci sia dal punto di vista creativo che pratico. Le idee creative richiedevano un'architettura luminosa in grado di valorizzare l'intero spazio, non solo il palcoscenico. In altre parole, un'illuminazione che crei profondità e definisca il ritmo. E soluzioni sufficientemente robuste da resistere alle condizioni estreme di un grande spazio all’aperto, senza dover proteggere la muratura storica in modo tale da limitare inutilmente la produzione.</w:t>
      </w:r>
    </w:p>
    <w:p w14:paraId="21426AD4" w14:textId="77777777" w:rsidR="001B190B" w:rsidRPr="00B16049" w:rsidRDefault="001B190B" w:rsidP="002D0EA6"/>
    <w:p w14:paraId="5968D47A" w14:textId="2C61EFA5" w:rsidR="001B190B" w:rsidRPr="00B16049" w:rsidRDefault="004A5DD7" w:rsidP="002D0EA6">
      <w:pPr>
        <w:rPr>
          <w:b/>
          <w:bCs/>
          <w:color w:val="000000" w:themeColor="text1"/>
        </w:rPr>
      </w:pPr>
      <w:r w:rsidRPr="00B16049">
        <w:rPr>
          <w:b/>
          <w:color w:val="000000" w:themeColor="text1"/>
        </w:rPr>
        <w:t>Una questione di fiducia</w:t>
      </w:r>
    </w:p>
    <w:p w14:paraId="2CB8FA02" w14:textId="4F1CE11B" w:rsidR="009510F8" w:rsidRPr="00B16049" w:rsidRDefault="00BD6CFF" w:rsidP="002D0EA6">
      <w:pPr>
        <w:pStyle w:val="StandardWeb"/>
        <w:spacing w:before="0" w:beforeAutospacing="0" w:after="0" w:afterAutospacing="0"/>
        <w:rPr>
          <w:rFonts w:ascii="Calibri" w:hAnsi="Calibri" w:cs="Calibri"/>
          <w:sz w:val="22"/>
          <w:szCs w:val="22"/>
        </w:rPr>
      </w:pPr>
      <w:r w:rsidRPr="00B16049">
        <w:rPr>
          <w:rFonts w:ascii="Calibri" w:hAnsi="Calibri"/>
          <w:sz w:val="22"/>
        </w:rPr>
        <w:t xml:space="preserve">Il consiglio di Giò Forma ha condotto </w:t>
      </w:r>
      <w:proofErr w:type="gramStart"/>
      <w:r w:rsidRPr="00B16049">
        <w:rPr>
          <w:rFonts w:ascii="Calibri" w:hAnsi="Calibri"/>
          <w:sz w:val="22"/>
        </w:rPr>
        <w:t>il team</w:t>
      </w:r>
      <w:proofErr w:type="gramEnd"/>
      <w:r w:rsidRPr="00B16049">
        <w:rPr>
          <w:rFonts w:ascii="Calibri" w:hAnsi="Calibri"/>
          <w:sz w:val="22"/>
        </w:rPr>
        <w:t xml:space="preserve"> di </w:t>
      </w:r>
      <w:proofErr w:type="spellStart"/>
      <w:r w:rsidRPr="00B16049">
        <w:rPr>
          <w:rFonts w:ascii="Calibri" w:hAnsi="Calibri"/>
          <w:sz w:val="22"/>
        </w:rPr>
        <w:t>Blearred</w:t>
      </w:r>
      <w:proofErr w:type="spellEnd"/>
      <w:r w:rsidRPr="00B16049">
        <w:rPr>
          <w:rFonts w:ascii="Calibri" w:hAnsi="Calibri"/>
          <w:sz w:val="22"/>
        </w:rPr>
        <w:t xml:space="preserve"> direttamente a Neu-Anspach, nell’Assia, presso la sede centrale di Adam Hall Group: “Quando abbiamo visto per la prima volta l’OTOS L16, il prodotto non era ancora nemmeno in commercio”, ricorda Jordan Babev, lighting designer e cofondatore di </w:t>
      </w:r>
      <w:proofErr w:type="spellStart"/>
      <w:r w:rsidRPr="00B16049">
        <w:rPr>
          <w:rFonts w:ascii="Calibri" w:hAnsi="Calibri"/>
          <w:sz w:val="22"/>
        </w:rPr>
        <w:t>Blearred</w:t>
      </w:r>
      <w:proofErr w:type="spellEnd"/>
      <w:r w:rsidRPr="00B16049">
        <w:rPr>
          <w:rFonts w:ascii="Calibri" w:hAnsi="Calibri"/>
          <w:sz w:val="22"/>
        </w:rPr>
        <w:t xml:space="preserve">. Il fatto che </w:t>
      </w:r>
      <w:proofErr w:type="gramStart"/>
      <w:r w:rsidRPr="00B16049">
        <w:rPr>
          <w:rFonts w:ascii="Calibri" w:hAnsi="Calibri"/>
          <w:sz w:val="22"/>
        </w:rPr>
        <w:t>il team</w:t>
      </w:r>
      <w:proofErr w:type="gramEnd"/>
      <w:r w:rsidRPr="00B16049">
        <w:rPr>
          <w:rFonts w:ascii="Calibri" w:hAnsi="Calibri"/>
          <w:sz w:val="22"/>
        </w:rPr>
        <w:t xml:space="preserve"> abbia comunque optato per la nuova barra mobile IP65 di Cameo dimostra la fiducia che lo studio ha riposto nel prodotto e nel marchio. “</w:t>
      </w:r>
      <w:proofErr w:type="gramStart"/>
      <w:r w:rsidRPr="00B16049">
        <w:rPr>
          <w:rFonts w:ascii="Calibri" w:hAnsi="Calibri"/>
          <w:sz w:val="22"/>
        </w:rPr>
        <w:t>Il team</w:t>
      </w:r>
      <w:proofErr w:type="gramEnd"/>
      <w:r w:rsidRPr="00B16049">
        <w:rPr>
          <w:rFonts w:ascii="Calibri" w:hAnsi="Calibri"/>
          <w:sz w:val="22"/>
        </w:rPr>
        <w:t xml:space="preserve"> di Cameo non ci ha mai lasciato alcun dubbio sulla propria capacità di fornire l’OTOS L16 in quantità così elevate per gli spettacoli. Questo è stato per noi il fattore decisivo.” </w:t>
      </w:r>
    </w:p>
    <w:p w14:paraId="168C8227" w14:textId="77777777" w:rsidR="009510F8" w:rsidRPr="00B16049" w:rsidRDefault="009510F8" w:rsidP="002D0EA6">
      <w:pPr>
        <w:pStyle w:val="StandardWeb"/>
        <w:spacing w:before="0" w:beforeAutospacing="0" w:after="0" w:afterAutospacing="0"/>
        <w:rPr>
          <w:rFonts w:ascii="Calibri" w:hAnsi="Calibri" w:cs="Calibri"/>
          <w:sz w:val="22"/>
          <w:szCs w:val="22"/>
        </w:rPr>
      </w:pPr>
    </w:p>
    <w:p w14:paraId="5BC113AF" w14:textId="2931739C" w:rsidR="00751CE6" w:rsidRPr="00B16049" w:rsidRDefault="009510F8" w:rsidP="002D0EA6">
      <w:pPr>
        <w:pStyle w:val="StandardWeb"/>
        <w:spacing w:before="0" w:beforeAutospacing="0" w:after="0" w:afterAutospacing="0"/>
        <w:rPr>
          <w:rFonts w:ascii="Calibri" w:hAnsi="Calibri" w:cs="Calibri"/>
          <w:sz w:val="22"/>
          <w:szCs w:val="22"/>
        </w:rPr>
      </w:pPr>
      <w:r w:rsidRPr="00B16049">
        <w:rPr>
          <w:rFonts w:ascii="Calibri" w:hAnsi="Calibri"/>
          <w:sz w:val="22"/>
        </w:rPr>
        <w:t xml:space="preserve">Per Nicolò Maffeis, programmatore luci presso </w:t>
      </w:r>
      <w:proofErr w:type="spellStart"/>
      <w:r w:rsidRPr="00B16049">
        <w:rPr>
          <w:rFonts w:ascii="Calibri" w:hAnsi="Calibri"/>
          <w:sz w:val="22"/>
        </w:rPr>
        <w:t>Blearred</w:t>
      </w:r>
      <w:proofErr w:type="spellEnd"/>
      <w:r w:rsidRPr="00B16049">
        <w:rPr>
          <w:rFonts w:ascii="Calibri" w:hAnsi="Calibri"/>
          <w:sz w:val="22"/>
        </w:rPr>
        <w:t xml:space="preserve">, i poco meno di 750 Cameo OTOS L16, distribuiti lungo le antiche gradinate dell’anfiteatro semicircolare, hanno svolto un ruolo cruciale nella realizzazione creativa: “Gli OTOS L16 costituiscono l’elemento visivo di maggiore impatto in entrambe le cerimonie.” </w:t>
      </w:r>
      <w:proofErr w:type="spellStart"/>
      <w:r w:rsidRPr="00B16049">
        <w:rPr>
          <w:rFonts w:ascii="Calibri" w:hAnsi="Calibri"/>
          <w:sz w:val="22"/>
        </w:rPr>
        <w:t>Blearred</w:t>
      </w:r>
      <w:proofErr w:type="spellEnd"/>
      <w:r w:rsidRPr="00B16049">
        <w:rPr>
          <w:rFonts w:ascii="Calibri" w:hAnsi="Calibri"/>
          <w:sz w:val="22"/>
        </w:rPr>
        <w:t xml:space="preserve"> utilizza le barre mobili certificate IP65 sia per creare effetti cromatici sulla superficie ed effetti simmetrici, sia per realizzare accenti luminosi che conferiscono un forte senso di profondità.</w:t>
      </w:r>
    </w:p>
    <w:p w14:paraId="49C005B0" w14:textId="77777777" w:rsidR="00B511E0" w:rsidRPr="00B16049" w:rsidRDefault="00B511E0" w:rsidP="002D0EA6">
      <w:pPr>
        <w:pStyle w:val="StandardWeb"/>
        <w:spacing w:before="0" w:beforeAutospacing="0" w:after="0" w:afterAutospacing="0"/>
        <w:rPr>
          <w:rFonts w:ascii="Calibri" w:hAnsi="Calibri" w:cs="Calibri"/>
          <w:sz w:val="22"/>
          <w:szCs w:val="22"/>
        </w:rPr>
      </w:pPr>
    </w:p>
    <w:p w14:paraId="13F32171" w14:textId="6318B185" w:rsidR="00751CE6" w:rsidRPr="00B16049" w:rsidRDefault="004A5DD7" w:rsidP="002D0EA6">
      <w:pPr>
        <w:pStyle w:val="StandardWeb"/>
        <w:spacing w:before="0" w:beforeAutospacing="0" w:after="0" w:afterAutospacing="0"/>
        <w:rPr>
          <w:rFonts w:ascii="Calibri" w:hAnsi="Calibri" w:cs="Calibri"/>
          <w:sz w:val="22"/>
          <w:szCs w:val="22"/>
        </w:rPr>
      </w:pPr>
      <w:r w:rsidRPr="00B16049">
        <w:rPr>
          <w:rStyle w:val="Fett"/>
          <w:rFonts w:ascii="Calibri" w:hAnsi="Calibri"/>
          <w:sz w:val="22"/>
        </w:rPr>
        <w:t>Ricordi indimenticabili</w:t>
      </w:r>
    </w:p>
    <w:p w14:paraId="3E2695B4" w14:textId="777CA4E3" w:rsidR="006A0FC6" w:rsidRPr="00B16049" w:rsidRDefault="00751CE6" w:rsidP="002D0EA6">
      <w:pPr>
        <w:pStyle w:val="KeinLeerraum"/>
        <w:rPr>
          <w:rFonts w:ascii="Calibri" w:hAnsi="Calibri" w:cs="Calibri"/>
        </w:rPr>
      </w:pPr>
      <w:r w:rsidRPr="00B16049">
        <w:rPr>
          <w:rFonts w:ascii="Calibri" w:hAnsi="Calibri"/>
        </w:rPr>
        <w:t>In definitiva, le cerimonie di questa portata non puntano a creare effetti a livello individuale, ma a lasciare un ricordo indelebile nel pubblico. “Soprattutto, vorrei che il pubblico ricordasse le emozioni provate guardando lo spettacolo in TV o dal vivo nell’arena”, commenta Ivan Russo. Jordan Babev sta già guardando oltre: “Immagino che tra dieci anni saremo seduti attorno a un tavolo come una squadra, ripensando con orgoglio a questa esperienza che abbiamo condiviso con milioni di persone.”</w:t>
      </w:r>
    </w:p>
    <w:p w14:paraId="67AE40A3" w14:textId="77777777" w:rsidR="002D0EA6" w:rsidRPr="00B16049" w:rsidRDefault="002D0EA6" w:rsidP="002D0EA6">
      <w:pPr>
        <w:pStyle w:val="KeinLeerraum"/>
        <w:rPr>
          <w:rFonts w:ascii="Calibri" w:hAnsi="Calibri" w:cs="Calibri"/>
          <w:lang w:val="de-DE"/>
        </w:rPr>
      </w:pPr>
    </w:p>
    <w:p w14:paraId="55B826C4" w14:textId="2ADD6B94" w:rsidR="006A0FC6" w:rsidRPr="00B16049" w:rsidRDefault="006A0FC6" w:rsidP="003B6107">
      <w:pPr>
        <w:pStyle w:val="font-claude-response-body"/>
        <w:spacing w:before="0" w:beforeAutospacing="0" w:after="0" w:afterAutospacing="0"/>
        <w:rPr>
          <w:rFonts w:ascii="Calibri" w:eastAsiaTheme="minorHAnsi" w:hAnsi="Calibri" w:cs="Calibri"/>
          <w:i/>
          <w:iCs/>
          <w:sz w:val="22"/>
          <w:szCs w:val="22"/>
        </w:rPr>
      </w:pPr>
      <w:r w:rsidRPr="00B16049">
        <w:rPr>
          <w:rFonts w:ascii="Calibri" w:hAnsi="Calibri"/>
          <w:sz w:val="22"/>
        </w:rPr>
        <w:t xml:space="preserve">L'intervista completa ai membri </w:t>
      </w:r>
      <w:proofErr w:type="gramStart"/>
      <w:r w:rsidRPr="00B16049">
        <w:rPr>
          <w:rFonts w:ascii="Calibri" w:hAnsi="Calibri"/>
          <w:sz w:val="22"/>
        </w:rPr>
        <w:t>del team</w:t>
      </w:r>
      <w:proofErr w:type="gramEnd"/>
      <w:r w:rsidRPr="00B16049">
        <w:rPr>
          <w:rFonts w:ascii="Calibri" w:hAnsi="Calibri"/>
          <w:sz w:val="22"/>
        </w:rPr>
        <w:t xml:space="preserve"> di </w:t>
      </w:r>
      <w:proofErr w:type="spellStart"/>
      <w:r w:rsidRPr="00B16049">
        <w:rPr>
          <w:rFonts w:ascii="Calibri" w:hAnsi="Calibri"/>
          <w:sz w:val="22"/>
        </w:rPr>
        <w:t>Blearred</w:t>
      </w:r>
      <w:proofErr w:type="spellEnd"/>
      <w:r w:rsidRPr="00B16049">
        <w:rPr>
          <w:rFonts w:ascii="Calibri" w:hAnsi="Calibri"/>
          <w:sz w:val="22"/>
        </w:rPr>
        <w:t xml:space="preserve">, in cui parlano della pressione di dover dare il meglio, dell'orgoglio e dell'unicità di questo progetto, è disponibile </w:t>
      </w:r>
      <w:hyperlink r:id="rId10" w:history="1">
        <w:proofErr w:type="spellStart"/>
        <w:r w:rsidR="000E069E" w:rsidRPr="000E069E">
          <w:rPr>
            <w:rStyle w:val="Hyperlink"/>
            <w:rFonts w:ascii="Calibri" w:hAnsi="Calibri"/>
            <w:sz w:val="22"/>
          </w:rPr>
          <w:t>quí</w:t>
        </w:r>
        <w:proofErr w:type="spellEnd"/>
      </w:hyperlink>
      <w:r w:rsidR="000E069E">
        <w:rPr>
          <w:rFonts w:ascii="Calibri" w:hAnsi="Calibri"/>
          <w:sz w:val="22"/>
        </w:rPr>
        <w:t xml:space="preserve"> </w:t>
      </w:r>
      <w:r w:rsidRPr="00B16049">
        <w:rPr>
          <w:rFonts w:ascii="Calibri" w:hAnsi="Calibri"/>
          <w:sz w:val="22"/>
        </w:rPr>
        <w:t>su YouTube</w:t>
      </w:r>
      <w:r w:rsidR="003B6107">
        <w:rPr>
          <w:rFonts w:ascii="Calibri" w:hAnsi="Calibri"/>
          <w:sz w:val="22"/>
        </w:rPr>
        <w:t>.</w:t>
      </w:r>
      <w:r w:rsidRPr="00B16049">
        <w:rPr>
          <w:rFonts w:ascii="Calibri" w:hAnsi="Calibri"/>
          <w:i/>
          <w:sz w:val="22"/>
          <w:lang w:eastAsia="en-US"/>
        </w:rPr>
        <w:t xml:space="preserve"> </w:t>
      </w:r>
    </w:p>
    <w:p w14:paraId="51B1C207" w14:textId="77777777" w:rsidR="002D0EA6" w:rsidRPr="00B16049" w:rsidRDefault="002D0EA6" w:rsidP="002D0EA6">
      <w:pPr>
        <w:pStyle w:val="KeinLeerraum"/>
        <w:rPr>
          <w:rFonts w:ascii="Calibri" w:hAnsi="Calibri" w:cs="Calibri"/>
          <w:b/>
          <w:bCs/>
          <w:lang w:val="de-DE"/>
        </w:rPr>
      </w:pPr>
    </w:p>
    <w:p w14:paraId="45FE4AE1" w14:textId="22F2A507" w:rsidR="00A23809" w:rsidRPr="00B16049" w:rsidRDefault="00A23809" w:rsidP="002D0EA6">
      <w:pPr>
        <w:pStyle w:val="KeinLeerraum"/>
        <w:rPr>
          <w:rFonts w:ascii="Calibri" w:hAnsi="Calibri" w:cs="Calibri"/>
          <w:b/>
          <w:bCs/>
        </w:rPr>
      </w:pPr>
      <w:r w:rsidRPr="00B16049">
        <w:rPr>
          <w:rFonts w:ascii="Calibri" w:hAnsi="Calibri"/>
          <w:b/>
        </w:rPr>
        <w:t>Nell'Arena di Verona sono stati utilizzati i seguenti prodotti Cameo:</w:t>
      </w:r>
    </w:p>
    <w:p w14:paraId="478B644B" w14:textId="1262C532" w:rsidR="00A23809" w:rsidRPr="00B16049" w:rsidRDefault="00A23809" w:rsidP="002D0EA6">
      <w:pPr>
        <w:pStyle w:val="KeinLeerraum"/>
        <w:rPr>
          <w:rFonts w:ascii="Calibri" w:eastAsia="Times New Roman" w:hAnsi="Calibri" w:cs="Calibri"/>
          <w:color w:val="000000"/>
        </w:rPr>
      </w:pPr>
      <w:r w:rsidRPr="00B16049">
        <w:rPr>
          <w:rFonts w:ascii="Calibri" w:hAnsi="Calibri"/>
          <w:color w:val="000000"/>
        </w:rPr>
        <w:t>Barra mobile IP65 Cameo OTOS L16</w:t>
      </w:r>
    </w:p>
    <w:p w14:paraId="499360D2" w14:textId="77777777" w:rsidR="00A23809" w:rsidRPr="00B16049" w:rsidRDefault="00A23809" w:rsidP="002D0EA6">
      <w:pPr>
        <w:pStyle w:val="StandardWeb"/>
        <w:spacing w:before="0" w:beforeAutospacing="0" w:after="0" w:afterAutospacing="0"/>
        <w:textAlignment w:val="baseline"/>
        <w:rPr>
          <w:rFonts w:ascii="Calibri" w:hAnsi="Calibri" w:cs="Calibri"/>
          <w:color w:val="000000" w:themeColor="text1"/>
          <w:sz w:val="22"/>
          <w:szCs w:val="22"/>
          <w:lang w:val="en-US"/>
        </w:rPr>
      </w:pPr>
    </w:p>
    <w:p w14:paraId="35F62E62" w14:textId="77777777" w:rsidR="00A23809" w:rsidRPr="00B16049" w:rsidRDefault="00A23809" w:rsidP="002D0EA6">
      <w:pPr>
        <w:rPr>
          <w:color w:val="000000" w:themeColor="text1"/>
        </w:rPr>
      </w:pPr>
      <w:r w:rsidRPr="00B16049">
        <w:rPr>
          <w:color w:val="000000" w:themeColor="text1"/>
          <w:lang w:val="en-US"/>
        </w:rPr>
        <w:t>#</w:t>
      </w:r>
      <w:proofErr w:type="gramStart"/>
      <w:r w:rsidRPr="00B16049">
        <w:rPr>
          <w:color w:val="000000" w:themeColor="text1"/>
          <w:lang w:val="en-US"/>
        </w:rPr>
        <w:t>Cameo  #ForLumenBeings  #EventTech  #</w:t>
      </w:r>
      <w:proofErr w:type="gramEnd"/>
      <w:r w:rsidRPr="00B16049">
        <w:rPr>
          <w:color w:val="000000" w:themeColor="text1"/>
          <w:lang w:val="en-US"/>
        </w:rPr>
        <w:t>EngineeringFascination</w:t>
      </w:r>
    </w:p>
    <w:p w14:paraId="405E3420" w14:textId="77777777" w:rsidR="00A23809" w:rsidRPr="00B16049" w:rsidRDefault="00A23809" w:rsidP="002D0EA6">
      <w:pPr>
        <w:rPr>
          <w:b/>
          <w:bCs/>
          <w:color w:val="000000" w:themeColor="text1"/>
          <w:lang w:val="en-US"/>
        </w:rPr>
      </w:pPr>
    </w:p>
    <w:p w14:paraId="7902973F" w14:textId="77777777" w:rsidR="00A23809" w:rsidRPr="00B16049" w:rsidRDefault="00A23809" w:rsidP="002D0EA6">
      <w:pPr>
        <w:rPr>
          <w:b/>
          <w:bCs/>
          <w:color w:val="000000" w:themeColor="text1"/>
        </w:rPr>
      </w:pPr>
      <w:r w:rsidRPr="00B16049">
        <w:rPr>
          <w:b/>
          <w:color w:val="000000" w:themeColor="text1"/>
        </w:rPr>
        <w:t>Ulteriori informazioni:</w:t>
      </w:r>
    </w:p>
    <w:p w14:paraId="7371541B" w14:textId="77777777" w:rsidR="00A23809" w:rsidRPr="00B16049" w:rsidRDefault="00A23809" w:rsidP="002D0EA6">
      <w:pPr>
        <w:pStyle w:val="KeinLeerraum"/>
        <w:rPr>
          <w:rFonts w:ascii="Calibri" w:hAnsi="Calibri" w:cs="Calibri"/>
        </w:rPr>
      </w:pPr>
      <w:hyperlink r:id="rId11" w:history="1">
        <w:r w:rsidRPr="00B16049">
          <w:rPr>
            <w:rStyle w:val="Hyperlink"/>
            <w:rFonts w:ascii="Calibri" w:hAnsi="Calibri"/>
          </w:rPr>
          <w:t>blearred.com</w:t>
        </w:r>
      </w:hyperlink>
    </w:p>
    <w:p w14:paraId="5DB47230" w14:textId="77777777" w:rsidR="00A23809" w:rsidRPr="00B16049" w:rsidRDefault="00A23809" w:rsidP="002D0EA6">
      <w:pPr>
        <w:pStyle w:val="KeinLeerraum"/>
        <w:rPr>
          <w:rFonts w:ascii="Calibri" w:hAnsi="Calibri" w:cs="Calibri"/>
        </w:rPr>
      </w:pPr>
      <w:hyperlink r:id="rId12" w:history="1">
        <w:r w:rsidRPr="00B16049">
          <w:rPr>
            <w:rStyle w:val="Hyperlink"/>
            <w:rFonts w:ascii="Calibri" w:hAnsi="Calibri"/>
          </w:rPr>
          <w:t>gioforma.com</w:t>
        </w:r>
      </w:hyperlink>
    </w:p>
    <w:p w14:paraId="364765BE" w14:textId="2BE408E4" w:rsidR="00126432" w:rsidRPr="00B16049" w:rsidRDefault="00126432" w:rsidP="002D0EA6">
      <w:pPr>
        <w:pStyle w:val="KeinLeerraum"/>
        <w:rPr>
          <w:rFonts w:ascii="Calibri" w:hAnsi="Calibri" w:cs="Calibri"/>
        </w:rPr>
      </w:pPr>
      <w:hyperlink r:id="rId13" w:history="1">
        <w:r w:rsidRPr="00B16049">
          <w:rPr>
            <w:rStyle w:val="Hyperlink"/>
            <w:rFonts w:ascii="Calibri" w:hAnsi="Calibri"/>
          </w:rPr>
          <w:t>filmmaster.com</w:t>
        </w:r>
      </w:hyperlink>
    </w:p>
    <w:p w14:paraId="6E8D884E" w14:textId="77777777" w:rsidR="00A23809" w:rsidRPr="00B16049" w:rsidRDefault="00A23809" w:rsidP="002D0EA6">
      <w:pPr>
        <w:pStyle w:val="KeinLeerraum"/>
        <w:rPr>
          <w:rFonts w:ascii="Calibri" w:hAnsi="Calibri" w:cs="Calibri"/>
          <w:b/>
          <w:bCs/>
        </w:rPr>
      </w:pPr>
    </w:p>
    <w:p w14:paraId="46B3159E" w14:textId="77777777" w:rsidR="00A23809" w:rsidRPr="00B16049" w:rsidRDefault="00A23809" w:rsidP="002D0EA6">
      <w:pPr>
        <w:suppressAutoHyphens/>
      </w:pPr>
      <w:hyperlink r:id="rId14" w:history="1">
        <w:r w:rsidRPr="00B16049">
          <w:rPr>
            <w:rStyle w:val="Hyperlink"/>
            <w:lang w:val="en-US"/>
          </w:rPr>
          <w:t>cameolight.com</w:t>
        </w:r>
      </w:hyperlink>
    </w:p>
    <w:p w14:paraId="427DFBFC" w14:textId="6635DBF5" w:rsidR="00932242" w:rsidRPr="00B16049" w:rsidRDefault="00A23809" w:rsidP="002D0EA6">
      <w:hyperlink r:id="rId15" w:history="1">
        <w:r w:rsidRPr="00B16049">
          <w:rPr>
            <w:rStyle w:val="Hyperlink"/>
            <w:color w:val="000000" w:themeColor="text1"/>
            <w:lang w:val="en-US"/>
          </w:rPr>
          <w:t>adamhall.com</w:t>
        </w:r>
      </w:hyperlink>
    </w:p>
    <w:p w14:paraId="0CEB8D26" w14:textId="77777777" w:rsidR="00836898" w:rsidRPr="00B16049" w:rsidRDefault="00836898" w:rsidP="002D0EA6"/>
    <w:p w14:paraId="03387CE8" w14:textId="77777777" w:rsidR="000E069E" w:rsidRPr="000E069E" w:rsidRDefault="000E069E" w:rsidP="000E069E">
      <w:pPr>
        <w:rPr>
          <w:rFonts w:eastAsiaTheme="minorHAnsi" w:cstheme="minorBidi"/>
          <w:b/>
          <w:color w:val="808080"/>
          <w:sz w:val="18"/>
          <w:lang w:eastAsia="en-US"/>
        </w:rPr>
      </w:pPr>
      <w:r w:rsidRPr="000E069E">
        <w:rPr>
          <w:rFonts w:eastAsiaTheme="minorHAnsi" w:cstheme="minorBidi"/>
          <w:b/>
          <w:color w:val="808080"/>
          <w:sz w:val="18"/>
          <w:lang w:eastAsia="en-US"/>
        </w:rPr>
        <w:t>Informazioni su Adam Hall Group</w:t>
      </w:r>
    </w:p>
    <w:p w14:paraId="6BEB9506" w14:textId="291C74DA" w:rsidR="00836898" w:rsidRPr="00126432" w:rsidRDefault="000E069E" w:rsidP="000E069E">
      <w:pPr>
        <w:rPr>
          <w:rFonts w:eastAsia="Arial"/>
          <w:bCs/>
          <w:color w:val="000000" w:themeColor="text1"/>
          <w:lang w:val="en-US"/>
        </w:rPr>
      </w:pPr>
      <w:r w:rsidRPr="000E069E">
        <w:rPr>
          <w:rFonts w:eastAsiaTheme="minorHAnsi" w:cstheme="minorBidi"/>
          <w:bCs/>
          <w:color w:val="808080"/>
          <w:sz w:val="18"/>
          <w:lang w:eastAsia="en-US"/>
        </w:rPr>
        <w:t xml:space="preserve">L’azienda tedesca Adam Hall Group è un produttore e una società di distribuzione leader di mercato che offre soluzioni nel settore della tecnologia applicata a spettacoli a partner commerciali di tutto il mondo. I destinatari sono, tra gli altri, rivenditori al dettaglio, rivenditori B2B, società di eventi live e noleggio, studi di trasmissione, integratori di sistemi e AV, imprese private e pubbliche e produttori di </w:t>
      </w:r>
      <w:proofErr w:type="spellStart"/>
      <w:r w:rsidRPr="000E069E">
        <w:rPr>
          <w:rFonts w:eastAsiaTheme="minorHAnsi" w:cstheme="minorBidi"/>
          <w:bCs/>
          <w:color w:val="808080"/>
          <w:sz w:val="18"/>
          <w:lang w:eastAsia="en-US"/>
        </w:rPr>
        <w:t>flightcase</w:t>
      </w:r>
      <w:proofErr w:type="spellEnd"/>
      <w:r w:rsidRPr="000E069E">
        <w:rPr>
          <w:rFonts w:eastAsiaTheme="minorHAnsi" w:cstheme="minorBidi"/>
          <w:bCs/>
          <w:color w:val="808080"/>
          <w:sz w:val="18"/>
          <w:lang w:eastAsia="en-US"/>
        </w:rPr>
        <w:t xml:space="preserve"> industriali. Con i suoi marchi LD Systems®, Cameo®, </w:t>
      </w:r>
      <w:proofErr w:type="spellStart"/>
      <w:r w:rsidRPr="000E069E">
        <w:rPr>
          <w:rFonts w:eastAsiaTheme="minorHAnsi" w:cstheme="minorBidi"/>
          <w:bCs/>
          <w:color w:val="808080"/>
          <w:sz w:val="18"/>
          <w:lang w:eastAsia="en-US"/>
        </w:rPr>
        <w:t>Gravity</w:t>
      </w:r>
      <w:proofErr w:type="spellEnd"/>
      <w:r w:rsidRPr="000E069E">
        <w:rPr>
          <w:rFonts w:eastAsiaTheme="minorHAnsi" w:cstheme="minorBidi"/>
          <w:bCs/>
          <w:color w:val="808080"/>
          <w:sz w:val="18"/>
          <w:lang w:eastAsia="en-US"/>
        </w:rPr>
        <w:t xml:space="preserve">®, Defender®, Palmer® e Adam Hall®, l’impresa offre un nutrito portafoglio di attrezzature tecnologiche professionali per sonorizzazione, illuminotecnica e scenotecnica, oltre a componenti per </w:t>
      </w:r>
      <w:proofErr w:type="spellStart"/>
      <w:r w:rsidRPr="000E069E">
        <w:rPr>
          <w:rFonts w:eastAsiaTheme="minorHAnsi" w:cstheme="minorBidi"/>
          <w:bCs/>
          <w:color w:val="808080"/>
          <w:sz w:val="18"/>
          <w:lang w:eastAsia="en-US"/>
        </w:rPr>
        <w:t>flightcase</w:t>
      </w:r>
      <w:proofErr w:type="spellEnd"/>
      <w:r w:rsidRPr="000E069E">
        <w:rPr>
          <w:rFonts w:eastAsiaTheme="minorHAnsi" w:cstheme="minorBidi"/>
          <w:bCs/>
          <w:color w:val="808080"/>
          <w:sz w:val="18"/>
          <w:lang w:eastAsia="en-US"/>
        </w:rPr>
        <w:t>. Fondata nel 1975, Adam Hall Group nel tempo si è trasformata fino a diventare un’impresa moderna e innovativa nel settore della tecnologia per eventi. Il suo parco logistico presso la sede centrale, vicino a Francoforte sul Meno, in Germania, conta con un magazzino di oltre 14.000 metri quadrati. Grazie alla costante attenzione alla creazione di valore e all’assistenza, Adam Hall Group si è aggiudicata numerosi premi internazionali per lo sviluppo e la progettazione di prodotti innovativi e d’avanguardia, conferiti da istituzioni prestigiose quali “Red Dot”, “German Design Award” e “</w:t>
      </w:r>
      <w:proofErr w:type="spellStart"/>
      <w:r w:rsidRPr="000E069E">
        <w:rPr>
          <w:rFonts w:eastAsiaTheme="minorHAnsi" w:cstheme="minorBidi"/>
          <w:bCs/>
          <w:color w:val="808080"/>
          <w:sz w:val="18"/>
          <w:lang w:eastAsia="en-US"/>
        </w:rPr>
        <w:t>iF</w:t>
      </w:r>
      <w:proofErr w:type="spellEnd"/>
      <w:r w:rsidRPr="000E069E">
        <w:rPr>
          <w:rFonts w:eastAsiaTheme="minorHAnsi" w:cstheme="minorBidi"/>
          <w:bCs/>
          <w:color w:val="808080"/>
          <w:sz w:val="18"/>
          <w:lang w:eastAsia="en-US"/>
        </w:rPr>
        <w:t xml:space="preserve"> Industrie Forum Design”. LD Systems®, in collaborazione con l’agenzia di design F.A. Porsche, presenta il futuro del design dell’audio professionale con l’iconico altoparlante a colonna MAUI® P900, grazie al quale di recente ha conseguito l’ambitissimo “German Design Award”. Informazioni più approfondite su Adam Hall Group sono disponibili online su</w:t>
      </w:r>
      <w:r w:rsidRPr="000E069E">
        <w:rPr>
          <w:rFonts w:eastAsiaTheme="minorHAnsi" w:cstheme="minorBidi"/>
          <w:b/>
          <w:color w:val="808080"/>
          <w:sz w:val="18"/>
          <w:lang w:eastAsia="en-US"/>
        </w:rPr>
        <w:t xml:space="preserve"> www.adamhall.com.</w:t>
      </w:r>
    </w:p>
    <w:sectPr w:rsidR="00836898" w:rsidRPr="00126432">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B81BF" w14:textId="77777777" w:rsidR="00B93FEA" w:rsidRDefault="00B93FEA" w:rsidP="00836898">
      <w:r>
        <w:separator/>
      </w:r>
    </w:p>
  </w:endnote>
  <w:endnote w:type="continuationSeparator" w:id="0">
    <w:p w14:paraId="5C168C0D" w14:textId="77777777" w:rsidR="00B93FEA" w:rsidRDefault="00B93FEA" w:rsidP="0083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E8D5" w14:textId="77777777" w:rsidR="00B93FEA" w:rsidRDefault="00B93FEA" w:rsidP="00836898">
      <w:r>
        <w:separator/>
      </w:r>
    </w:p>
  </w:footnote>
  <w:footnote w:type="continuationSeparator" w:id="0">
    <w:p w14:paraId="0E6D6C6F" w14:textId="77777777" w:rsidR="00B93FEA" w:rsidRDefault="00B93FEA" w:rsidP="0083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C1C1" w14:textId="024AFF28" w:rsidR="00836898" w:rsidRPr="00836898" w:rsidRDefault="00836898" w:rsidP="00836898">
    <w:pPr>
      <w:pStyle w:val="Kopfzeile"/>
      <w:ind w:firstLine="708"/>
    </w:pPr>
    <w:r>
      <w:tab/>
    </w:r>
    <w:r>
      <w:tab/>
    </w:r>
    <w:r>
      <w:rPr>
        <w:noProof/>
      </w:rPr>
      <w:drawing>
        <wp:inline distT="0" distB="0" distL="0" distR="0" wp14:anchorId="625D9FAC" wp14:editId="14C587C3">
          <wp:extent cx="1791205" cy="654050"/>
          <wp:effectExtent l="0" t="0" r="0" b="0"/>
          <wp:docPr id="9" name="Grafik 5"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8B1"/>
    <w:multiLevelType w:val="multilevel"/>
    <w:tmpl w:val="ABAC643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31E7316"/>
    <w:multiLevelType w:val="multilevel"/>
    <w:tmpl w:val="A9B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658758">
    <w:abstractNumId w:val="1"/>
  </w:num>
  <w:num w:numId="2" w16cid:durableId="97317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5F"/>
    <w:rsid w:val="00062D3A"/>
    <w:rsid w:val="00081CCC"/>
    <w:rsid w:val="000A43A0"/>
    <w:rsid w:val="000C77E8"/>
    <w:rsid w:val="000E069E"/>
    <w:rsid w:val="000F3E82"/>
    <w:rsid w:val="00126432"/>
    <w:rsid w:val="001406EA"/>
    <w:rsid w:val="00157E7B"/>
    <w:rsid w:val="00176175"/>
    <w:rsid w:val="001A6DB6"/>
    <w:rsid w:val="001A7EE9"/>
    <w:rsid w:val="001B190B"/>
    <w:rsid w:val="001C2C2B"/>
    <w:rsid w:val="00204512"/>
    <w:rsid w:val="00217F56"/>
    <w:rsid w:val="002226CD"/>
    <w:rsid w:val="00240A47"/>
    <w:rsid w:val="0027112C"/>
    <w:rsid w:val="00276490"/>
    <w:rsid w:val="002D0EA6"/>
    <w:rsid w:val="002D372B"/>
    <w:rsid w:val="00311871"/>
    <w:rsid w:val="003131A4"/>
    <w:rsid w:val="00326175"/>
    <w:rsid w:val="003269C7"/>
    <w:rsid w:val="00352D04"/>
    <w:rsid w:val="0039320C"/>
    <w:rsid w:val="003B6107"/>
    <w:rsid w:val="003C46C9"/>
    <w:rsid w:val="003D739D"/>
    <w:rsid w:val="003F4684"/>
    <w:rsid w:val="004017A6"/>
    <w:rsid w:val="00402F1E"/>
    <w:rsid w:val="00403E53"/>
    <w:rsid w:val="00404359"/>
    <w:rsid w:val="00434A49"/>
    <w:rsid w:val="0046475C"/>
    <w:rsid w:val="004A230F"/>
    <w:rsid w:val="004A5DD7"/>
    <w:rsid w:val="004D2B4D"/>
    <w:rsid w:val="004D4374"/>
    <w:rsid w:val="004E7C50"/>
    <w:rsid w:val="004F1742"/>
    <w:rsid w:val="005C7DDD"/>
    <w:rsid w:val="005E4198"/>
    <w:rsid w:val="00681A7A"/>
    <w:rsid w:val="006A0FC6"/>
    <w:rsid w:val="006F4CBC"/>
    <w:rsid w:val="00724B13"/>
    <w:rsid w:val="00751CE6"/>
    <w:rsid w:val="00781875"/>
    <w:rsid w:val="007A12E3"/>
    <w:rsid w:val="007B2FBC"/>
    <w:rsid w:val="007B5936"/>
    <w:rsid w:val="007D179B"/>
    <w:rsid w:val="007D1FAA"/>
    <w:rsid w:val="007F25E3"/>
    <w:rsid w:val="008033D8"/>
    <w:rsid w:val="00827117"/>
    <w:rsid w:val="00836898"/>
    <w:rsid w:val="00845137"/>
    <w:rsid w:val="00864EEC"/>
    <w:rsid w:val="0088470E"/>
    <w:rsid w:val="0089593F"/>
    <w:rsid w:val="008C2E08"/>
    <w:rsid w:val="008C4378"/>
    <w:rsid w:val="008E018B"/>
    <w:rsid w:val="00902B48"/>
    <w:rsid w:val="00916CE2"/>
    <w:rsid w:val="00932242"/>
    <w:rsid w:val="00935242"/>
    <w:rsid w:val="009479BB"/>
    <w:rsid w:val="009510F8"/>
    <w:rsid w:val="009868B8"/>
    <w:rsid w:val="00990D56"/>
    <w:rsid w:val="009A4A4A"/>
    <w:rsid w:val="009B132B"/>
    <w:rsid w:val="009C5A86"/>
    <w:rsid w:val="009C605B"/>
    <w:rsid w:val="009F4E26"/>
    <w:rsid w:val="00A1146A"/>
    <w:rsid w:val="00A23809"/>
    <w:rsid w:val="00A50CC7"/>
    <w:rsid w:val="00B07AD8"/>
    <w:rsid w:val="00B16049"/>
    <w:rsid w:val="00B511E0"/>
    <w:rsid w:val="00B55284"/>
    <w:rsid w:val="00B91E81"/>
    <w:rsid w:val="00B93FEA"/>
    <w:rsid w:val="00BC09CA"/>
    <w:rsid w:val="00BD6CFF"/>
    <w:rsid w:val="00BF701C"/>
    <w:rsid w:val="00C00414"/>
    <w:rsid w:val="00C46630"/>
    <w:rsid w:val="00C7377C"/>
    <w:rsid w:val="00C85800"/>
    <w:rsid w:val="00CC1615"/>
    <w:rsid w:val="00D14252"/>
    <w:rsid w:val="00D170AB"/>
    <w:rsid w:val="00D227D8"/>
    <w:rsid w:val="00D71318"/>
    <w:rsid w:val="00D73919"/>
    <w:rsid w:val="00DD436F"/>
    <w:rsid w:val="00DF1594"/>
    <w:rsid w:val="00E02E48"/>
    <w:rsid w:val="00E1706F"/>
    <w:rsid w:val="00E23B94"/>
    <w:rsid w:val="00E373EF"/>
    <w:rsid w:val="00E40025"/>
    <w:rsid w:val="00EC5667"/>
    <w:rsid w:val="00ED2470"/>
    <w:rsid w:val="00EE38C4"/>
    <w:rsid w:val="00F009EF"/>
    <w:rsid w:val="00F1025F"/>
    <w:rsid w:val="00F25F20"/>
    <w:rsid w:val="00F96DD4"/>
    <w:rsid w:val="00FD20F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C99F"/>
  <w15:chartTrackingRefBased/>
  <w15:docId w15:val="{0B78530A-2F40-BB45-9E5F-9AD84A64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0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02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02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025F"/>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025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025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025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025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25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02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025F"/>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025F"/>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025F"/>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025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025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025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025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025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F1025F"/>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F102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025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025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1025F"/>
    <w:rPr>
      <w:i/>
      <w:iCs/>
      <w:color w:val="404040" w:themeColor="text1" w:themeTint="BF"/>
    </w:rPr>
  </w:style>
  <w:style w:type="paragraph" w:styleId="Listenabsatz">
    <w:name w:val="List Paragraph"/>
    <w:basedOn w:val="Standard"/>
    <w:uiPriority w:val="34"/>
    <w:qFormat/>
    <w:rsid w:val="00F1025F"/>
    <w:pPr>
      <w:ind w:left="720"/>
      <w:contextualSpacing/>
    </w:pPr>
  </w:style>
  <w:style w:type="character" w:styleId="IntensiveHervorhebung">
    <w:name w:val="Intense Emphasis"/>
    <w:basedOn w:val="Absatz-Standardschriftart"/>
    <w:uiPriority w:val="21"/>
    <w:qFormat/>
    <w:rsid w:val="00F1025F"/>
    <w:rPr>
      <w:i/>
      <w:iCs/>
      <w:color w:val="0F4761" w:themeColor="accent1" w:themeShade="BF"/>
    </w:rPr>
  </w:style>
  <w:style w:type="paragraph" w:styleId="IntensivesZitat">
    <w:name w:val="Intense Quote"/>
    <w:basedOn w:val="Standard"/>
    <w:next w:val="Standard"/>
    <w:link w:val="IntensivesZitatZchn"/>
    <w:uiPriority w:val="30"/>
    <w:qFormat/>
    <w:rsid w:val="00F10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025F"/>
    <w:rPr>
      <w:i/>
      <w:iCs/>
      <w:color w:val="0F4761" w:themeColor="accent1" w:themeShade="BF"/>
    </w:rPr>
  </w:style>
  <w:style w:type="character" w:styleId="IntensiverVerweis">
    <w:name w:val="Intense Reference"/>
    <w:basedOn w:val="Absatz-Standardschriftart"/>
    <w:uiPriority w:val="32"/>
    <w:qFormat/>
    <w:rsid w:val="00F1025F"/>
    <w:rPr>
      <w:b/>
      <w:bCs/>
      <w:smallCaps/>
      <w:color w:val="0F4761" w:themeColor="accent1" w:themeShade="BF"/>
      <w:spacing w:val="5"/>
    </w:rPr>
  </w:style>
  <w:style w:type="paragraph" w:styleId="StandardWeb">
    <w:name w:val="Normal (Web)"/>
    <w:basedOn w:val="Standard"/>
    <w:uiPriority w:val="99"/>
    <w:unhideWhenUsed/>
    <w:rsid w:val="00C00414"/>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Fett">
    <w:name w:val="Strong"/>
    <w:basedOn w:val="Absatz-Standardschriftart"/>
    <w:uiPriority w:val="22"/>
    <w:qFormat/>
    <w:rsid w:val="00751CE6"/>
    <w:rPr>
      <w:b/>
      <w:bCs/>
    </w:rPr>
  </w:style>
  <w:style w:type="paragraph" w:styleId="KeinLeerraum">
    <w:name w:val="No Spacing"/>
    <w:uiPriority w:val="1"/>
    <w:qFormat/>
    <w:rsid w:val="00751CE6"/>
    <w:rPr>
      <w:rFonts w:asciiTheme="minorHAnsi" w:eastAsiaTheme="minorHAnsi" w:hAnsiTheme="minorHAnsi" w:cstheme="minorBidi"/>
      <w:color w:val="auto"/>
      <w:lang w:eastAsia="en-US"/>
    </w:rPr>
  </w:style>
  <w:style w:type="character" w:styleId="Hyperlink">
    <w:name w:val="Hyperlink"/>
    <w:basedOn w:val="Absatz-Standardschriftart"/>
    <w:uiPriority w:val="99"/>
    <w:unhideWhenUsed/>
    <w:rsid w:val="00A23809"/>
    <w:rPr>
      <w:color w:val="0000FF"/>
      <w:u w:val="single"/>
    </w:rPr>
  </w:style>
  <w:style w:type="character" w:styleId="NichtaufgelsteErwhnung">
    <w:name w:val="Unresolved Mention"/>
    <w:basedOn w:val="Absatz-Standardschriftart"/>
    <w:uiPriority w:val="99"/>
    <w:semiHidden/>
    <w:unhideWhenUsed/>
    <w:rsid w:val="00126432"/>
    <w:rPr>
      <w:color w:val="605E5C"/>
      <w:shd w:val="clear" w:color="auto" w:fill="E1DFDD"/>
    </w:rPr>
  </w:style>
  <w:style w:type="paragraph" w:customStyle="1" w:styleId="whitespace-normal">
    <w:name w:val="whitespace-normal"/>
    <w:basedOn w:val="Standard"/>
    <w:rsid w:val="007B5936"/>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Hervorhebung">
    <w:name w:val="Emphasis"/>
    <w:basedOn w:val="Absatz-Standardschriftart"/>
    <w:uiPriority w:val="20"/>
    <w:qFormat/>
    <w:rsid w:val="007B5936"/>
    <w:rPr>
      <w:i/>
      <w:iCs/>
    </w:rPr>
  </w:style>
  <w:style w:type="paragraph" w:customStyle="1" w:styleId="font-claude-response-body">
    <w:name w:val="font-claude-response-body"/>
    <w:basedOn w:val="Standard"/>
    <w:rsid w:val="006A0FC6"/>
    <w:pPr>
      <w:spacing w:before="100" w:beforeAutospacing="1" w:after="100" w:afterAutospacing="1"/>
    </w:pPr>
    <w:rPr>
      <w:rFonts w:ascii="Times New Roman" w:eastAsia="Times New Roman" w:hAnsi="Times New Roman" w:cs="Times New Roman"/>
      <w:color w:val="auto"/>
      <w:sz w:val="24"/>
      <w:szCs w:val="24"/>
      <w:lang w:eastAsia="de-DE"/>
    </w:rPr>
  </w:style>
  <w:style w:type="paragraph" w:styleId="Kopfzeile">
    <w:name w:val="header"/>
    <w:basedOn w:val="Standard"/>
    <w:link w:val="KopfzeileZchn"/>
    <w:uiPriority w:val="99"/>
    <w:unhideWhenUsed/>
    <w:rsid w:val="00836898"/>
    <w:pPr>
      <w:tabs>
        <w:tab w:val="center" w:pos="4536"/>
        <w:tab w:val="right" w:pos="9072"/>
      </w:tabs>
    </w:pPr>
  </w:style>
  <w:style w:type="character" w:customStyle="1" w:styleId="KopfzeileZchn">
    <w:name w:val="Kopfzeile Zchn"/>
    <w:basedOn w:val="Absatz-Standardschriftart"/>
    <w:link w:val="Kopfzeile"/>
    <w:uiPriority w:val="99"/>
    <w:rsid w:val="00836898"/>
  </w:style>
  <w:style w:type="paragraph" w:styleId="Fuzeile">
    <w:name w:val="footer"/>
    <w:basedOn w:val="Standard"/>
    <w:link w:val="FuzeileZchn"/>
    <w:uiPriority w:val="99"/>
    <w:unhideWhenUsed/>
    <w:rsid w:val="00836898"/>
    <w:pPr>
      <w:tabs>
        <w:tab w:val="center" w:pos="4536"/>
        <w:tab w:val="right" w:pos="9072"/>
      </w:tabs>
    </w:pPr>
  </w:style>
  <w:style w:type="character" w:customStyle="1" w:styleId="FuzeileZchn">
    <w:name w:val="Fußzeile Zchn"/>
    <w:basedOn w:val="Absatz-Standardschriftart"/>
    <w:link w:val="Fuzeile"/>
    <w:uiPriority w:val="99"/>
    <w:rsid w:val="00836898"/>
  </w:style>
  <w:style w:type="character" w:styleId="BesuchterLink">
    <w:name w:val="FollowedHyperlink"/>
    <w:basedOn w:val="Absatz-Standardschriftart"/>
    <w:uiPriority w:val="99"/>
    <w:semiHidden/>
    <w:unhideWhenUsed/>
    <w:rsid w:val="00FD20F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ilmmaster.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ioform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learred.com/" TargetMode="External"/><Relationship Id="rId5" Type="http://schemas.openxmlformats.org/officeDocument/2006/relationships/styles" Target="styles.xml"/><Relationship Id="rId15" Type="http://schemas.openxmlformats.org/officeDocument/2006/relationships/hyperlink" Target="http://www.adamhall.com/" TargetMode="External"/><Relationship Id="rId10" Type="http://schemas.openxmlformats.org/officeDocument/2006/relationships/hyperlink" Target="https://youtu.be/bW8sYwE1jL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meolight.co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FDEEE3-7DDB-4F4A-ADC8-CE8B235E4C32}">
  <ds:schemaRefs>
    <ds:schemaRef ds:uri="http://schemas.microsoft.com/sharepoint/v3/contenttype/forms"/>
  </ds:schemaRefs>
</ds:datastoreItem>
</file>

<file path=customXml/itemProps2.xml><?xml version="1.0" encoding="utf-8"?>
<ds:datastoreItem xmlns:ds="http://schemas.openxmlformats.org/officeDocument/2006/customXml" ds:itemID="{8F7A43C0-60C9-45D4-BCCF-A59BE7C1CCEB}">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86B9BBAE-F520-4560-9DD7-E313894E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1181</Words>
  <Characters>7447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5</cp:revision>
  <dcterms:created xsi:type="dcterms:W3CDTF">2026-04-07T14:15:00Z</dcterms:created>
  <dcterms:modified xsi:type="dcterms:W3CDTF">2026-04-28T08:52:00Z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